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50581">
      <w:pPr>
        <w:pStyle w:val="130"/>
        <w:tabs>
          <w:tab w:val="right" w:pos="9639"/>
        </w:tabs>
        <w:spacing w:after="0"/>
        <w:rPr>
          <w:rFonts w:hint="default" w:eastAsia="宋体"/>
          <w:b/>
          <w:i/>
          <w:sz w:val="28"/>
          <w:lang w:val="en-US" w:eastAsia="zh-CN"/>
        </w:rPr>
      </w:pPr>
      <w:r>
        <w:rPr>
          <w:b/>
          <w:sz w:val="24"/>
        </w:rPr>
        <w:t>3GPP TSG-SA3 Meeting #1</w:t>
      </w:r>
      <w:r>
        <w:rPr>
          <w:rFonts w:hint="eastAsia"/>
          <w:b/>
          <w:sz w:val="24"/>
          <w:lang w:val="en-US" w:eastAsia="zh-CN"/>
        </w:rPr>
        <w:t>2</w:t>
      </w:r>
      <w:r>
        <w:rPr>
          <w:rFonts w:hint="default"/>
          <w:b/>
          <w:sz w:val="24"/>
          <w:lang w:val="en-US" w:eastAsia="zh-CN"/>
        </w:rPr>
        <w:t>2</w:t>
      </w:r>
      <w:r>
        <w:rPr>
          <w:b/>
          <w:i/>
          <w:sz w:val="24"/>
        </w:rPr>
        <w:t xml:space="preserve"> </w:t>
      </w:r>
      <w:r>
        <w:rPr>
          <w:b/>
          <w:i/>
          <w:sz w:val="28"/>
        </w:rPr>
        <w:tab/>
      </w:r>
      <w:r>
        <w:rPr>
          <w:b/>
          <w:i/>
          <w:sz w:val="28"/>
        </w:rPr>
        <w:t>S3-2</w:t>
      </w:r>
      <w:r>
        <w:rPr>
          <w:rFonts w:hint="eastAsia"/>
          <w:b/>
          <w:i/>
          <w:sz w:val="28"/>
          <w:lang w:val="en-US" w:eastAsia="zh-CN"/>
        </w:rPr>
        <w:t>5</w:t>
      </w:r>
      <w:r>
        <w:rPr>
          <w:rFonts w:hint="default"/>
          <w:b/>
          <w:i/>
          <w:sz w:val="28"/>
          <w:lang w:val="en-US" w:eastAsia="zh-CN"/>
        </w:rPr>
        <w:t>2100</w:t>
      </w:r>
    </w:p>
    <w:p w14:paraId="4800E4E1">
      <w:pPr>
        <w:spacing w:after="120"/>
        <w:outlineLvl w:val="0"/>
        <w:rPr>
          <w:rFonts w:ascii="Arial" w:hAnsi="Arial" w:eastAsia="Times New Roman"/>
          <w:b/>
          <w:bCs/>
          <w:sz w:val="24"/>
        </w:rPr>
      </w:pPr>
      <w:r>
        <w:rPr>
          <w:rFonts w:hint="default" w:ascii="Arial" w:hAnsi="Arial"/>
          <w:b/>
          <w:bCs/>
          <w:sz w:val="24"/>
          <w:lang w:val="en-US" w:eastAsia="zh-CN"/>
        </w:rPr>
        <w:t>Fukuoka</w:t>
      </w:r>
      <w:r>
        <w:rPr>
          <w:rFonts w:ascii="Arial" w:hAnsi="Arial" w:eastAsia="Times New Roman"/>
          <w:b/>
          <w:bCs/>
          <w:sz w:val="24"/>
        </w:rPr>
        <w:t xml:space="preserve">, </w:t>
      </w:r>
      <w:r>
        <w:rPr>
          <w:rFonts w:hint="default" w:ascii="Arial" w:hAnsi="Arial" w:eastAsia="Times New Roman"/>
          <w:b/>
          <w:bCs/>
          <w:sz w:val="24"/>
          <w:lang w:val="en-US"/>
        </w:rPr>
        <w:t>Japan</w:t>
      </w:r>
      <w:r>
        <w:rPr>
          <w:rFonts w:ascii="Arial" w:hAnsi="Arial" w:eastAsia="Times New Roman"/>
          <w:b/>
          <w:bCs/>
          <w:sz w:val="24"/>
        </w:rPr>
        <w:t xml:space="preserve">, </w:t>
      </w:r>
      <w:r>
        <w:rPr>
          <w:rFonts w:hint="default" w:ascii="Arial" w:hAnsi="Arial" w:eastAsia="Times New Roman"/>
          <w:b/>
          <w:bCs/>
          <w:sz w:val="24"/>
          <w:lang w:val="en-US"/>
        </w:rPr>
        <w:t>19</w:t>
      </w:r>
      <w:r>
        <w:rPr>
          <w:rFonts w:ascii="Arial" w:hAnsi="Arial" w:eastAsia="Times New Roman"/>
          <w:b/>
          <w:bCs/>
          <w:sz w:val="24"/>
        </w:rPr>
        <w:t xml:space="preserve"> - </w:t>
      </w:r>
      <w:r>
        <w:rPr>
          <w:rFonts w:hint="default" w:ascii="Arial" w:hAnsi="Arial" w:eastAsia="Times New Roman"/>
          <w:b/>
          <w:bCs/>
          <w:sz w:val="24"/>
          <w:lang w:val="en-US"/>
        </w:rPr>
        <w:t>23</w:t>
      </w:r>
      <w:r>
        <w:rPr>
          <w:rFonts w:hint="eastAsia" w:ascii="Arial" w:hAnsi="Arial"/>
          <w:b/>
          <w:bCs/>
          <w:sz w:val="24"/>
          <w:lang w:val="en-US" w:eastAsia="zh-CN"/>
        </w:rPr>
        <w:t xml:space="preserve"> </w:t>
      </w:r>
      <w:r>
        <w:rPr>
          <w:rFonts w:hint="default" w:ascii="Arial" w:hAnsi="Arial"/>
          <w:b/>
          <w:bCs/>
          <w:sz w:val="24"/>
          <w:lang w:val="en-US" w:eastAsia="zh-CN"/>
        </w:rPr>
        <w:t xml:space="preserve">May, </w:t>
      </w:r>
      <w:r>
        <w:rPr>
          <w:rFonts w:ascii="Arial" w:hAnsi="Arial" w:eastAsia="Times New Roman"/>
          <w:b/>
          <w:bCs/>
          <w:sz w:val="24"/>
        </w:rPr>
        <w:t>202</w:t>
      </w:r>
      <w:r>
        <w:rPr>
          <w:rFonts w:hint="eastAsia" w:ascii="Arial" w:hAnsi="Arial" w:eastAsia="宋体"/>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eastAsia="宋体"/>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5595C5C">
      <w:pPr>
        <w:keepNext/>
        <w:pBdr>
          <w:bottom w:val="single" w:color="auto" w:sz="4" w:space="1"/>
        </w:pBdr>
        <w:tabs>
          <w:tab w:val="right" w:pos="9639"/>
        </w:tabs>
        <w:outlineLvl w:val="0"/>
        <w:rPr>
          <w:rFonts w:ascii="Arial" w:hAnsi="Arial" w:cs="Arial"/>
          <w:b/>
          <w:sz w:val="24"/>
        </w:rPr>
      </w:pPr>
    </w:p>
    <w:p w14:paraId="30392059">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1A9AB187">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hint="default" w:ascii="Arial" w:hAnsi="Arial" w:cs="Arial"/>
          <w:b/>
          <w:lang w:val="en-US" w:eastAsia="zh-CN"/>
        </w:rPr>
        <w:t>KI#4 clean up</w:t>
      </w:r>
    </w:p>
    <w:p w14:paraId="3B994E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74E25">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default" w:ascii="Arial" w:hAnsi="Arial"/>
          <w:b/>
          <w:lang w:val="en-US"/>
        </w:rPr>
        <w:t>5</w:t>
      </w:r>
      <w:r>
        <w:rPr>
          <w:rFonts w:ascii="Arial" w:hAnsi="Arial"/>
          <w:b/>
        </w:rPr>
        <w:t>.</w:t>
      </w:r>
      <w:r>
        <w:rPr>
          <w:rFonts w:hint="default" w:ascii="Arial" w:hAnsi="Arial"/>
          <w:b/>
          <w:lang w:val="en-US"/>
        </w:rPr>
        <w:t>9</w:t>
      </w:r>
    </w:p>
    <w:p w14:paraId="2D2D8988">
      <w:pPr>
        <w:pStyle w:val="2"/>
      </w:pPr>
      <w:r>
        <w:t>1</w:t>
      </w:r>
      <w:r>
        <w:tab/>
      </w:r>
      <w:r>
        <w:t>Decision/action requested</w:t>
      </w:r>
    </w:p>
    <w:p w14:paraId="4701E0B3">
      <w:pPr>
        <w:pBdr>
          <w:top w:val="single" w:color="auto" w:sz="4" w:space="1"/>
          <w:left w:val="single" w:color="auto" w:sz="4" w:space="4"/>
          <w:bottom w:val="single" w:color="auto" w:sz="4" w:space="0"/>
          <w:right w:val="single" w:color="auto" w:sz="4" w:space="4"/>
        </w:pBdr>
        <w:shd w:val="clear" w:color="auto" w:fill="FFFF99"/>
        <w:jc w:val="center"/>
        <w:rPr>
          <w:rFonts w:hint="default" w:eastAsia="宋体"/>
          <w:lang w:val="en-US" w:eastAsia="zh-CN"/>
        </w:rPr>
      </w:pPr>
      <w:r>
        <w:rPr>
          <w:b/>
          <w:i/>
        </w:rPr>
        <w:t>Approve the pCR to T</w:t>
      </w:r>
      <w:r>
        <w:rPr>
          <w:rFonts w:hint="eastAsia"/>
          <w:b/>
          <w:i/>
          <w:lang w:val="en-US" w:eastAsia="zh-CN"/>
        </w:rPr>
        <w:t>S</w:t>
      </w:r>
      <w:r>
        <w:rPr>
          <w:b/>
          <w:i/>
        </w:rPr>
        <w:t xml:space="preserve"> 33.</w:t>
      </w:r>
      <w:r>
        <w:rPr>
          <w:rFonts w:hint="default"/>
          <w:b/>
          <w:i/>
          <w:lang w:val="en-US"/>
        </w:rPr>
        <w:t>713</w:t>
      </w:r>
    </w:p>
    <w:p w14:paraId="2E161902">
      <w:pPr>
        <w:pStyle w:val="2"/>
        <w:numPr>
          <w:ilvl w:val="0"/>
          <w:numId w:val="4"/>
        </w:numPr>
      </w:pPr>
      <w:r>
        <w:t>References</w:t>
      </w:r>
      <w:bookmarkStart w:id="0" w:name="_Hlk106339329"/>
    </w:p>
    <w:p w14:paraId="20CA1D5F">
      <w:pPr>
        <w:numPr>
          <w:ilvl w:val="0"/>
          <w:numId w:val="5"/>
        </w:numPr>
        <w:rPr>
          <w:lang w:val="en-US"/>
        </w:rPr>
      </w:pPr>
      <w:r>
        <w:rPr>
          <w:lang w:val="en-US"/>
        </w:rPr>
        <w:t>TR 33.713 v0.</w:t>
      </w:r>
      <w:r>
        <w:rPr>
          <w:rFonts w:hint="default"/>
          <w:lang w:val="en-US"/>
        </w:rPr>
        <w:t>8</w:t>
      </w:r>
      <w:r>
        <w:rPr>
          <w:lang w:val="en-US"/>
        </w:rPr>
        <w:t>.0</w:t>
      </w:r>
    </w:p>
    <w:bookmarkEnd w:id="0"/>
    <w:p w14:paraId="04D58F78">
      <w:pPr>
        <w:pStyle w:val="2"/>
      </w:pPr>
      <w:r>
        <w:t>3</w:t>
      </w:r>
      <w:r>
        <w:tab/>
      </w:r>
      <w:r>
        <w:t>Rationale</w:t>
      </w:r>
    </w:p>
    <w:p w14:paraId="0FEDACCA">
      <w:r>
        <w:t>This contribution proposes</w:t>
      </w:r>
      <w:r>
        <w:rPr>
          <w:rFonts w:hint="eastAsia"/>
          <w:lang w:val="en-US" w:eastAsia="zh-CN"/>
        </w:rPr>
        <w:t xml:space="preserve"> the</w:t>
      </w:r>
      <w:r>
        <w:rPr>
          <w:rFonts w:hint="default"/>
          <w:lang w:val="en-US" w:eastAsia="zh-CN"/>
        </w:rPr>
        <w:t xml:space="preserve"> clean up for the KI#4 in </w:t>
      </w:r>
      <w:r>
        <w:t>TR 33.7</w:t>
      </w:r>
      <w:r>
        <w:rPr>
          <w:lang w:val="en-US"/>
        </w:rPr>
        <w:t>13</w:t>
      </w:r>
      <w:r>
        <w:t>.</w:t>
      </w:r>
    </w:p>
    <w:p w14:paraId="011D1594">
      <w:pPr>
        <w:rPr>
          <w:rFonts w:hint="default"/>
          <w:lang w:val="en-US"/>
        </w:rPr>
      </w:pPr>
      <w:r>
        <w:rPr>
          <w:rFonts w:hint="default"/>
          <w:lang w:val="en-US"/>
        </w:rPr>
        <w:t xml:space="preserve">Based on the discussion in SA3#121, the communication security is </w:t>
      </w:r>
      <w:bookmarkStart w:id="52" w:name="_GoBack"/>
      <w:bookmarkEnd w:id="52"/>
      <w:r>
        <w:rPr>
          <w:rFonts w:hint="default"/>
          <w:lang w:val="en-US"/>
        </w:rPr>
        <w:t xml:space="preserve">mandatory between AIoT devices and 5G, thus the EN can be removed. </w:t>
      </w:r>
    </w:p>
    <w:p w14:paraId="2C0A6BB8">
      <w:pPr>
        <w:pStyle w:val="2"/>
      </w:pPr>
      <w:r>
        <w:t>4</w:t>
      </w:r>
      <w:r>
        <w:tab/>
      </w:r>
      <w:r>
        <w:t>Detailed proposal</w:t>
      </w:r>
    </w:p>
    <w:p w14:paraId="26D33D60">
      <w:pPr>
        <w:rPr>
          <w:iCs/>
        </w:rPr>
      </w:pPr>
    </w:p>
    <w:p w14:paraId="6CA32B28">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13475447"/>
      <w:bookmarkStart w:id="2" w:name="_Toc49376112"/>
      <w:bookmarkStart w:id="3" w:name="_Toc104221074"/>
      <w:bookmarkStart w:id="4" w:name="_Toc56501565"/>
      <w:bookmarkStart w:id="5" w:name="_Toc151726809"/>
      <w:bookmarkStart w:id="6" w:name="_Toc164754140"/>
      <w:bookmarkStart w:id="7" w:name="_Toc48930863"/>
    </w:p>
    <w:bookmarkEnd w:id="1"/>
    <w:bookmarkEnd w:id="2"/>
    <w:bookmarkEnd w:id="3"/>
    <w:bookmarkEnd w:id="4"/>
    <w:bookmarkEnd w:id="5"/>
    <w:bookmarkEnd w:id="6"/>
    <w:bookmarkEnd w:id="7"/>
    <w:p w14:paraId="494B491C">
      <w:pPr>
        <w:pStyle w:val="3"/>
        <w:rPr>
          <w:rFonts w:cs="Arial"/>
          <w:sz w:val="28"/>
          <w:szCs w:val="28"/>
        </w:rPr>
      </w:pPr>
      <w:bookmarkStart w:id="8" w:name="_Toc180278895"/>
      <w:bookmarkStart w:id="9" w:name="_Toc180279159"/>
      <w:bookmarkStart w:id="10" w:name="_Toc191304728"/>
      <w:bookmarkStart w:id="11" w:name="_Toc182841070"/>
      <w:bookmarkStart w:id="12" w:name="_Toc180279633"/>
      <w:bookmarkStart w:id="13" w:name="_Toc182899150"/>
      <w:bookmarkStart w:id="14" w:name="_Toc180278719"/>
      <w:bookmarkStart w:id="15" w:name="_Toc167405399"/>
      <w:r>
        <w:t>5.4</w:t>
      </w:r>
      <w:r>
        <w:tab/>
      </w:r>
      <w:r>
        <w:t>Key issue #</w:t>
      </w:r>
      <w:bookmarkStart w:id="16" w:name="_Toc106207166"/>
      <w:bookmarkStart w:id="17" w:name="_Toc116942731"/>
      <w:bookmarkStart w:id="18" w:name="_Toc119928605"/>
      <w:r>
        <w:t xml:space="preserve">4: </w:t>
      </w:r>
      <w:bookmarkEnd w:id="16"/>
      <w:r>
        <w:t xml:space="preserve">Protection of </w:t>
      </w:r>
      <w:bookmarkEnd w:id="17"/>
      <w:bookmarkEnd w:id="18"/>
      <w:r>
        <w:t>information during AIoT service communication</w:t>
      </w:r>
      <w:bookmarkEnd w:id="8"/>
      <w:bookmarkEnd w:id="9"/>
      <w:bookmarkEnd w:id="10"/>
      <w:bookmarkEnd w:id="11"/>
      <w:bookmarkEnd w:id="12"/>
      <w:bookmarkEnd w:id="13"/>
      <w:bookmarkEnd w:id="14"/>
      <w:bookmarkEnd w:id="15"/>
    </w:p>
    <w:p w14:paraId="68408F23">
      <w:pPr>
        <w:pStyle w:val="4"/>
      </w:pPr>
      <w:bookmarkStart w:id="19" w:name="_Toc182841071"/>
      <w:bookmarkStart w:id="20" w:name="_Toc106207167"/>
      <w:bookmarkStart w:id="21" w:name="_Toc180279634"/>
      <w:bookmarkStart w:id="22" w:name="_Toc119928606"/>
      <w:bookmarkStart w:id="23" w:name="_Toc180278720"/>
      <w:bookmarkStart w:id="24" w:name="_Toc182899151"/>
      <w:bookmarkStart w:id="25" w:name="_Toc180278896"/>
      <w:bookmarkStart w:id="26" w:name="_Toc180279160"/>
      <w:bookmarkStart w:id="27" w:name="_Toc167405400"/>
      <w:bookmarkStart w:id="28" w:name="_Toc191304729"/>
      <w:bookmarkStart w:id="29" w:name="_Toc116942732"/>
      <w:r>
        <w:t>5.4.1</w:t>
      </w:r>
      <w:r>
        <w:tab/>
      </w:r>
      <w:r>
        <w:t>Key issue details</w:t>
      </w:r>
      <w:bookmarkEnd w:id="19"/>
      <w:bookmarkEnd w:id="20"/>
      <w:bookmarkEnd w:id="21"/>
      <w:bookmarkEnd w:id="22"/>
      <w:bookmarkEnd w:id="23"/>
      <w:bookmarkEnd w:id="24"/>
      <w:bookmarkEnd w:id="25"/>
      <w:bookmarkEnd w:id="26"/>
      <w:bookmarkEnd w:id="27"/>
      <w:bookmarkEnd w:id="28"/>
      <w:bookmarkEnd w:id="29"/>
      <w:r>
        <w:t xml:space="preserve"> </w:t>
      </w:r>
    </w:p>
    <w:p w14:paraId="0FC01500">
      <w:pPr>
        <w:rPr>
          <w:rFonts w:eastAsia="MS Mincho"/>
        </w:rPr>
      </w:pPr>
      <w:bookmarkStart w:id="30" w:name="_Toc106207168"/>
      <w:r>
        <w:rPr>
          <w:rFonts w:eastAsia="MS Mincho"/>
        </w:rPr>
        <w:t>As per TS 22.369 [2],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eMTC, NB-IoT, and RedCap. To fulfil these requirements, AIoT devices require a communication capability.</w:t>
      </w:r>
    </w:p>
    <w:p w14:paraId="56F247F6">
      <w:pPr>
        <w:rPr>
          <w:rFonts w:eastAsia="MS Mincho"/>
        </w:rPr>
      </w:pPr>
      <w:r>
        <w:t xml:space="preserve">Considering the ambient IoT device will be deployed in the indoor system, if the restricted access means (e.g., in factory) are provided, the possibility of attack is minimal. However, if the environment (e.g., in shopping mall) is open to the attacker, </w:t>
      </w:r>
      <w:r>
        <w:rPr>
          <w:rFonts w:eastAsia="MS Mincho"/>
        </w:rPr>
        <w:t>from a security perspective, security mechanisms to protect the information transmitted during AIoT service communication need to be supported. Failure to provide such security mechanisms will lead to various attacks such as eavesdropping, manipulation and/or unauthorized transmission of the information during AIoT service communication.</w:t>
      </w:r>
    </w:p>
    <w:p w14:paraId="27BF9397">
      <w:pPr>
        <w:pStyle w:val="4"/>
      </w:pPr>
      <w:bookmarkStart w:id="31" w:name="_Toc182841072"/>
      <w:bookmarkStart w:id="32" w:name="_Toc191304730"/>
      <w:bookmarkStart w:id="33" w:name="_Toc182899152"/>
      <w:bookmarkStart w:id="34" w:name="_Toc167405401"/>
      <w:bookmarkStart w:id="35" w:name="_Toc180278897"/>
      <w:bookmarkStart w:id="36" w:name="_Toc116942733"/>
      <w:bookmarkStart w:id="37" w:name="_Toc180278721"/>
      <w:bookmarkStart w:id="38" w:name="_Toc180279161"/>
      <w:bookmarkStart w:id="39" w:name="_Toc119928607"/>
      <w:bookmarkStart w:id="40" w:name="_Toc180279635"/>
      <w:r>
        <w:t>5.4.2</w:t>
      </w:r>
      <w:r>
        <w:tab/>
      </w:r>
      <w:r>
        <w:t>Security threats</w:t>
      </w:r>
      <w:bookmarkEnd w:id="30"/>
      <w:bookmarkEnd w:id="31"/>
      <w:bookmarkEnd w:id="32"/>
      <w:bookmarkEnd w:id="33"/>
      <w:bookmarkEnd w:id="34"/>
      <w:bookmarkEnd w:id="35"/>
      <w:bookmarkEnd w:id="36"/>
      <w:bookmarkEnd w:id="37"/>
      <w:bookmarkEnd w:id="38"/>
      <w:bookmarkEnd w:id="39"/>
      <w:bookmarkEnd w:id="40"/>
    </w:p>
    <w:p w14:paraId="391E57BA">
      <w:pPr>
        <w:rPr>
          <w:rFonts w:eastAsia="MS Mincho"/>
        </w:rPr>
      </w:pPr>
      <w:bookmarkStart w:id="41" w:name="_Toc106207169"/>
      <w:r>
        <w:rPr>
          <w:rFonts w:eastAsia="MS Mincho"/>
        </w:rPr>
        <w:t>For command operation (e.g., write, read), the following threats are applicable:</w:t>
      </w:r>
    </w:p>
    <w:p w14:paraId="5C184439">
      <w:pPr>
        <w:rPr>
          <w:rFonts w:eastAsia="MS Mincho"/>
        </w:rPr>
      </w:pPr>
      <w:r>
        <w:rPr>
          <w:rFonts w:eastAsia="MS Mincho"/>
        </w:rPr>
        <w:t>An attacker may acquire data transmitted to/from AIoT devices by eavesdropping messages if the communication of AIoT service is not confidentiality protected.</w:t>
      </w:r>
    </w:p>
    <w:p w14:paraId="29FE2DC1">
      <w:pPr>
        <w:rPr>
          <w:rFonts w:eastAsia="MS Mincho"/>
        </w:rPr>
      </w:pPr>
      <w:r>
        <w:rPr>
          <w:rFonts w:eastAsia="MS Mincho"/>
        </w:rPr>
        <w:t>An attacker may manipulate information during communication of AIoT service if the communication of AIoT service is not integrity protected.</w:t>
      </w:r>
    </w:p>
    <w:p w14:paraId="7B8DDEEB">
      <w:pPr>
        <w:rPr>
          <w:rFonts w:eastAsia="MS Mincho"/>
        </w:rPr>
      </w:pPr>
      <w:r>
        <w:rPr>
          <w:rFonts w:eastAsia="MS Mincho"/>
        </w:rPr>
        <w:t>An attacker may replay a message if replay protection is not activated.</w:t>
      </w:r>
    </w:p>
    <w:p w14:paraId="0CADE020">
      <w:pPr>
        <w:pStyle w:val="4"/>
      </w:pPr>
      <w:bookmarkStart w:id="42" w:name="_Toc180279636"/>
      <w:bookmarkStart w:id="43" w:name="_Toc180279162"/>
      <w:bookmarkStart w:id="44" w:name="_Toc167405402"/>
      <w:bookmarkStart w:id="45" w:name="_Toc182899153"/>
      <w:bookmarkStart w:id="46" w:name="_Toc182841073"/>
      <w:bookmarkStart w:id="47" w:name="_Toc116942734"/>
      <w:bookmarkStart w:id="48" w:name="_Toc180278722"/>
      <w:bookmarkStart w:id="49" w:name="_Toc180278898"/>
      <w:bookmarkStart w:id="50" w:name="_Toc191304731"/>
      <w:bookmarkStart w:id="51" w:name="_Toc119928608"/>
      <w:r>
        <w:t>5.4.3</w:t>
      </w:r>
      <w:r>
        <w:tab/>
      </w:r>
      <w:r>
        <w:t>Potential security requirements</w:t>
      </w:r>
      <w:bookmarkEnd w:id="41"/>
      <w:bookmarkEnd w:id="42"/>
      <w:bookmarkEnd w:id="43"/>
      <w:bookmarkEnd w:id="44"/>
      <w:bookmarkEnd w:id="45"/>
      <w:bookmarkEnd w:id="46"/>
      <w:bookmarkEnd w:id="47"/>
      <w:bookmarkEnd w:id="48"/>
      <w:bookmarkEnd w:id="49"/>
      <w:bookmarkEnd w:id="50"/>
      <w:bookmarkEnd w:id="51"/>
      <w:r>
        <w:t xml:space="preserve"> </w:t>
      </w:r>
    </w:p>
    <w:p w14:paraId="3E5D70F6">
      <w:pPr>
        <w:rPr>
          <w:rFonts w:eastAsia="MS Mincho"/>
        </w:rPr>
      </w:pPr>
      <w:r>
        <w:rPr>
          <w:rFonts w:eastAsia="MS Mincho"/>
        </w:rPr>
        <w:t>The Ambient IoT system shall support a means to ensure confidentiality, integrity and/or anti-replay of information for AIoT services.</w:t>
      </w:r>
    </w:p>
    <w:p w14:paraId="21C35C45">
      <w:pPr>
        <w:pStyle w:val="123"/>
        <w:rPr>
          <w:del w:id="0" w:author="Apple" w:date="2025-05-12T16:48:39Z"/>
          <w:rStyle w:val="183"/>
        </w:rPr>
      </w:pPr>
      <w:del w:id="1" w:author="Apple" w:date="2025-05-12T16:48:39Z">
        <w:r>
          <w:rPr>
            <w:rStyle w:val="183"/>
          </w:rPr>
          <w:delText xml:space="preserve">Editor’s Note: Whether information protection between AIoT device and 5G core is mandatory </w:delText>
        </w:r>
      </w:del>
      <w:del w:id="2" w:author="Apple" w:date="2025-05-12T16:48:39Z">
        <w:r>
          <w:rPr>
            <w:rStyle w:val="183"/>
            <w:rFonts w:hint="default"/>
            <w:lang w:val="en-US"/>
          </w:rPr>
          <w:delText>is ffs</w:delText>
        </w:r>
      </w:del>
      <w:del w:id="3" w:author="Apple" w:date="2025-05-12T16:48:39Z">
        <w:r>
          <w:rPr>
            <w:rStyle w:val="183"/>
          </w:rPr>
          <w:delText xml:space="preserve">. </w:delText>
        </w:r>
      </w:del>
    </w:p>
    <w:p w14:paraId="55CA1023">
      <w:pPr>
        <w:jc w:val="both"/>
        <w:rPr>
          <w:lang w:val="en-US"/>
        </w:rPr>
      </w:pPr>
    </w:p>
    <w:p w14:paraId="6BBB6AEF">
      <w:pPr>
        <w:jc w:val="both"/>
        <w:rPr>
          <w:lang w:val="en-US"/>
        </w:rPr>
      </w:pPr>
    </w:p>
    <w:p w14:paraId="450B15D3">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1FE88E6B"/>
    <w:rsid w:val="217CC5EE"/>
    <w:rsid w:val="2BEC83D1"/>
    <w:rsid w:val="2FAF0130"/>
    <w:rsid w:val="3281B9ED"/>
    <w:rsid w:val="388AA552"/>
    <w:rsid w:val="4504F84D"/>
    <w:rsid w:val="57C6A377"/>
    <w:rsid w:val="646EDB26"/>
    <w:rsid w:val="6ACF4A00"/>
    <w:rsid w:val="6CD260C4"/>
    <w:rsid w:val="6EB6EE97"/>
    <w:rsid w:val="6FD3533A"/>
    <w:rsid w:val="6FFFDAAB"/>
    <w:rsid w:val="71ED98DE"/>
    <w:rsid w:val="71FEBBA1"/>
    <w:rsid w:val="72760E6F"/>
    <w:rsid w:val="727D37A9"/>
    <w:rsid w:val="72E33924"/>
    <w:rsid w:val="75EF5A77"/>
    <w:rsid w:val="761B2CF3"/>
    <w:rsid w:val="77B6FE12"/>
    <w:rsid w:val="77EF2740"/>
    <w:rsid w:val="7D7BC59F"/>
    <w:rsid w:val="7D914985"/>
    <w:rsid w:val="7FBEBB7D"/>
    <w:rsid w:val="7FF84058"/>
    <w:rsid w:val="7FFF5BB2"/>
    <w:rsid w:val="95E744B4"/>
    <w:rsid w:val="9F7FBD76"/>
    <w:rsid w:val="B5BE8783"/>
    <w:rsid w:val="BDFB246A"/>
    <w:rsid w:val="BF7F6F5B"/>
    <w:rsid w:val="CCADDC36"/>
    <w:rsid w:val="CDE7AF76"/>
    <w:rsid w:val="DB7F6CF3"/>
    <w:rsid w:val="DF8F08E0"/>
    <w:rsid w:val="E39D5E86"/>
    <w:rsid w:val="F67E64DF"/>
    <w:rsid w:val="F7F3B980"/>
    <w:rsid w:val="FAD55E7A"/>
    <w:rsid w:val="FAFDCFE9"/>
    <w:rsid w:val="FBFD1DCD"/>
    <w:rsid w:val="FD7697AD"/>
    <w:rsid w:val="FDFB7DE3"/>
    <w:rsid w:val="FEEF9D34"/>
    <w:rsid w:val="FF966852"/>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
    <w:hidden/>
    <w:unhideWhenUsed/>
    <w:uiPriority w:val="99"/>
    <w:rPr>
      <w:rFonts w:ascii="Times New Roman" w:hAnsi="Times New Roman" w:eastAsia="宋体" w:cs="Times New Roman"/>
      <w:lang w:val="en-GB" w:eastAsia="en-US" w:bidi="ar-SA"/>
    </w:rPr>
  </w:style>
  <w:style w:type="character" w:customStyle="1" w:styleId="182">
    <w:name w:val="text-only"/>
    <w:uiPriority w:val="0"/>
  </w:style>
  <w:style w:type="character" w:customStyle="1" w:styleId="183">
    <w:name w:val="Editor's Note Char"/>
    <w:qFormat/>
    <w:locked/>
    <w:uiPriority w:val="0"/>
    <w:rPr>
      <w:rFonts w:ascii="Times New Roman" w:hAnsi="Times New Roman"/>
      <w:color w:val="FF0000"/>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423</Words>
  <Characters>2412</Characters>
  <Lines>20</Lines>
  <Paragraphs>5</Paragraphs>
  <TotalTime>2</TotalTime>
  <ScaleCrop>false</ScaleCrop>
  <LinksUpToDate>false</LinksUpToDate>
  <CharactersWithSpaces>2830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2022-12-13T12:21:00Z</dcterms:created>
  <dc:creator>Michael Sanders, John M Meredith</dc:creator>
  <cp:lastModifiedBy>Apple</cp:lastModifiedBy>
  <cp:lastPrinted>1900-01-07T20:56:00Z</cp:lastPrinted>
  <dcterms:modified xsi:type="dcterms:W3CDTF">2025-05-12T17:27:56Z</dcterms:modified>
  <dc:title>3GPP Contribution</dc:title>
  <cp:revision>280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45E818381E687F94A7D81067BD970B2B_43</vt:lpwstr>
  </property>
</Properties>
</file>